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3D29B" w14:textId="77777777" w:rsidR="00FE2F46" w:rsidRDefault="00FE2F46" w:rsidP="00FE2F46">
      <w:pPr>
        <w:pStyle w:val="NormalWeb"/>
        <w:shd w:val="clear" w:color="auto" w:fill="FFFFFF"/>
        <w:spacing w:before="0" w:beforeAutospacing="0" w:after="150" w:afterAutospacing="0"/>
        <w:rPr>
          <w:rFonts w:ascii="Helvetica" w:hAnsi="Helvetica"/>
          <w:color w:val="000000"/>
          <w:sz w:val="27"/>
          <w:szCs w:val="27"/>
        </w:rPr>
      </w:pPr>
      <w:r>
        <w:rPr>
          <w:rFonts w:ascii="Helvetica" w:hAnsi="Helvetica"/>
          <w:color w:val="737373"/>
        </w:rPr>
        <w:t>Last Updated: January 04, 2019</w:t>
      </w:r>
    </w:p>
    <w:p w14:paraId="7CA3474B" w14:textId="77777777" w:rsidR="00FE2F46" w:rsidRDefault="00FE2F46" w:rsidP="00FE2F46">
      <w:pPr>
        <w:pStyle w:val="NormalWeb"/>
        <w:shd w:val="clear" w:color="auto" w:fill="FFFFFF"/>
        <w:spacing w:before="0" w:beforeAutospacing="0" w:after="150" w:afterAutospacing="0"/>
        <w:rPr>
          <w:rFonts w:ascii="Helvetica" w:hAnsi="Helvetica"/>
          <w:color w:val="000000"/>
          <w:sz w:val="27"/>
          <w:szCs w:val="27"/>
        </w:rPr>
      </w:pPr>
      <w:r>
        <w:rPr>
          <w:rFonts w:ascii="Helvetica" w:hAnsi="Helvetica"/>
          <w:color w:val="000000"/>
          <w:sz w:val="27"/>
          <w:szCs w:val="27"/>
        </w:rPr>
        <w:t>On August 21, 2017, Toronto Public Health opened the interim site for supervised injection services at </w:t>
      </w:r>
      <w:hyperlink r:id="rId4" w:history="1">
        <w:r>
          <w:rPr>
            <w:rStyle w:val="Hyperlink"/>
            <w:rFonts w:ascii="Helvetica" w:hAnsi="Helvetica"/>
            <w:color w:val="337AB7"/>
            <w:sz w:val="27"/>
            <w:szCs w:val="27"/>
          </w:rPr>
          <w:t>The Works</w:t>
        </w:r>
      </w:hyperlink>
      <w:r>
        <w:rPr>
          <w:rFonts w:ascii="Helvetica" w:hAnsi="Helvetica"/>
          <w:color w:val="000000"/>
          <w:sz w:val="27"/>
          <w:szCs w:val="27"/>
        </w:rPr>
        <w:t>. Services moved to the </w:t>
      </w:r>
      <w:hyperlink r:id="rId5" w:history="1">
        <w:r>
          <w:rPr>
            <w:rStyle w:val="Hyperlink"/>
            <w:rFonts w:ascii="Helvetica" w:hAnsi="Helvetica"/>
            <w:color w:val="337AB7"/>
            <w:sz w:val="27"/>
            <w:szCs w:val="27"/>
          </w:rPr>
          <w:t>permanent site</w:t>
        </w:r>
      </w:hyperlink>
      <w:r>
        <w:rPr>
          <w:rFonts w:ascii="Helvetica" w:hAnsi="Helvetica"/>
          <w:color w:val="000000"/>
          <w:sz w:val="27"/>
          <w:szCs w:val="27"/>
        </w:rPr>
        <w:t> on October 30, 2017.</w:t>
      </w:r>
    </w:p>
    <w:p w14:paraId="1EF2F0EC" w14:textId="77777777" w:rsidR="00FE2F46" w:rsidRDefault="00FE2F46" w:rsidP="00FE2F46">
      <w:pPr>
        <w:pStyle w:val="NormalWeb"/>
        <w:shd w:val="clear" w:color="auto" w:fill="FFFFFF"/>
        <w:spacing w:before="0" w:beforeAutospacing="0" w:after="150" w:afterAutospacing="0"/>
        <w:rPr>
          <w:rFonts w:ascii="Helvetica" w:hAnsi="Helvetica"/>
          <w:color w:val="000000"/>
          <w:sz w:val="27"/>
          <w:szCs w:val="27"/>
        </w:rPr>
      </w:pPr>
      <w:r>
        <w:rPr>
          <w:rFonts w:ascii="Helvetica" w:hAnsi="Helvetica"/>
          <w:color w:val="000000"/>
          <w:sz w:val="27"/>
          <w:szCs w:val="27"/>
        </w:rPr>
        <w:t>Supervised injection services are health services that provide a hygienic environment for people to inject pre-obtained drugs under the supervision of a trained health care professional. In addition to supervised injection, individuals are provided with sterile injection supplies, education on safer injection, overdose prevention and intervention, medical and counselling services, and referrals to drug treatment, housing, income support and other services. </w:t>
      </w:r>
      <w:r>
        <w:rPr>
          <w:rFonts w:ascii="Helvetica" w:hAnsi="Helvetica"/>
          <w:i/>
          <w:iCs/>
          <w:color w:val="000000"/>
          <w:sz w:val="27"/>
          <w:szCs w:val="27"/>
        </w:rPr>
        <w:t>Please see the Data Notes tab for more information on these indicators.</w:t>
      </w:r>
    </w:p>
    <w:p w14:paraId="69115E21" w14:textId="77777777" w:rsidR="00FE2F46" w:rsidRDefault="00FE2F46" w:rsidP="00FE2F46">
      <w:pPr>
        <w:pStyle w:val="NormalWeb"/>
        <w:shd w:val="clear" w:color="auto" w:fill="FFFFFF"/>
        <w:spacing w:before="0" w:beforeAutospacing="0" w:after="150" w:afterAutospacing="0"/>
        <w:rPr>
          <w:rFonts w:ascii="Helvetica" w:hAnsi="Helvetica"/>
          <w:color w:val="000000"/>
          <w:sz w:val="27"/>
          <w:szCs w:val="27"/>
        </w:rPr>
      </w:pPr>
      <w:r>
        <w:rPr>
          <w:rFonts w:ascii="Helvetica" w:hAnsi="Helvetica"/>
          <w:color w:val="000000"/>
          <w:sz w:val="27"/>
          <w:szCs w:val="27"/>
        </w:rPr>
        <w:t>As of December 30, 2018, there were 30,968 visits to the supervised injection service. There were 544 visits where an overdose occurred, including 186 visits where the client required naloxone.</w:t>
      </w:r>
    </w:p>
    <w:p w14:paraId="5A55145E" w14:textId="77777777" w:rsidR="00FE2F46" w:rsidRDefault="00FE2F46" w:rsidP="00FE2F46">
      <w:pPr>
        <w:pStyle w:val="NormalWeb"/>
        <w:shd w:val="clear" w:color="auto" w:fill="FFFFFF"/>
        <w:spacing w:before="0" w:beforeAutospacing="0" w:after="150" w:afterAutospacing="0"/>
        <w:rPr>
          <w:rFonts w:ascii="Helvetica" w:hAnsi="Helvetica"/>
          <w:color w:val="000000"/>
          <w:sz w:val="27"/>
          <w:szCs w:val="27"/>
        </w:rPr>
      </w:pPr>
      <w:r>
        <w:rPr>
          <w:rStyle w:val="Strong"/>
          <w:rFonts w:ascii="Helvetica" w:hAnsi="Helvetica"/>
          <w:b w:val="0"/>
          <w:bCs w:val="0"/>
          <w:color w:val="000000"/>
          <w:sz w:val="27"/>
          <w:szCs w:val="27"/>
        </w:rPr>
        <w:t>Weekly visits to the supervised injection service, The Works, August 21, 2017 to December 30, 2018</w:t>
      </w:r>
      <w:proofErr w:type="gramStart"/>
      <w:r>
        <w:rPr>
          <w:rStyle w:val="Strong"/>
          <w:rFonts w:ascii="Helvetica" w:hAnsi="Helvetica"/>
          <w:b w:val="0"/>
          <w:bCs w:val="0"/>
          <w:color w:val="000000"/>
          <w:sz w:val="27"/>
          <w:szCs w:val="27"/>
        </w:rPr>
        <w:t>*</w:t>
      </w:r>
      <w:r>
        <w:rPr>
          <w:rStyle w:val="Strong"/>
          <w:rFonts w:ascii="Helvetica" w:hAnsi="Helvetica"/>
          <w:b w:val="0"/>
          <w:bCs w:val="0"/>
          <w:color w:val="000000"/>
          <w:sz w:val="20"/>
          <w:szCs w:val="20"/>
          <w:vertAlign w:val="superscript"/>
        </w:rPr>
        <w:t>,†</w:t>
      </w:r>
      <w:proofErr w:type="gramEnd"/>
      <w:r>
        <w:rPr>
          <w:rStyle w:val="Strong"/>
          <w:rFonts w:ascii="Helvetica" w:hAnsi="Helvetica"/>
          <w:b w:val="0"/>
          <w:bCs w:val="0"/>
          <w:color w:val="000000"/>
          <w:sz w:val="20"/>
          <w:szCs w:val="20"/>
          <w:vertAlign w:val="superscript"/>
        </w:rPr>
        <w:t>,‡</w:t>
      </w:r>
    </w:p>
    <w:p w14:paraId="0CFB4812" w14:textId="6D8DF495" w:rsidR="00FE2F46" w:rsidRDefault="00FE2F46" w:rsidP="00FE2F46">
      <w:pPr>
        <w:pStyle w:val="NormalWeb"/>
        <w:shd w:val="clear" w:color="auto" w:fill="FFFFFF"/>
        <w:spacing w:before="0" w:beforeAutospacing="0" w:after="150" w:afterAutospacing="0"/>
        <w:rPr>
          <w:rFonts w:ascii="Helvetica" w:hAnsi="Helvetica"/>
          <w:color w:val="000000"/>
          <w:sz w:val="27"/>
          <w:szCs w:val="27"/>
        </w:rPr>
      </w:pPr>
      <w:r>
        <w:rPr>
          <w:rFonts w:ascii="Helvetica" w:hAnsi="Helvetica"/>
          <w:color w:val="737373"/>
        </w:rPr>
        <w:t> </w:t>
      </w:r>
      <w:r>
        <w:rPr>
          <w:rFonts w:ascii="Helvetica" w:hAnsi="Helvetica"/>
          <w:noProof/>
          <w:color w:val="737373"/>
        </w:rPr>
        <w:drawing>
          <wp:inline distT="0" distB="0" distL="0" distR="0" wp14:anchorId="7F4F852B" wp14:editId="3B0C9A73">
            <wp:extent cx="5943600" cy="2998470"/>
            <wp:effectExtent l="0" t="0" r="0" b="0"/>
            <wp:docPr id="2" name="Picture 2" descr="Graph of visits to the supervised injection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of visits to the supervised injection servi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998470"/>
                    </a:xfrm>
                    <a:prstGeom prst="rect">
                      <a:avLst/>
                    </a:prstGeom>
                    <a:noFill/>
                    <a:ln>
                      <a:noFill/>
                    </a:ln>
                  </pic:spPr>
                </pic:pic>
              </a:graphicData>
            </a:graphic>
          </wp:inline>
        </w:drawing>
      </w:r>
    </w:p>
    <w:p w14:paraId="1F089FED" w14:textId="77777777" w:rsidR="00FE2F46" w:rsidRDefault="00FE2F46" w:rsidP="00FE2F46">
      <w:pPr>
        <w:pStyle w:val="NormalWeb"/>
        <w:shd w:val="clear" w:color="auto" w:fill="FFFFFF"/>
        <w:spacing w:before="0" w:beforeAutospacing="0" w:after="150" w:afterAutospacing="0"/>
        <w:rPr>
          <w:rFonts w:ascii="Helvetica" w:hAnsi="Helvetica"/>
          <w:color w:val="000000"/>
          <w:sz w:val="27"/>
          <w:szCs w:val="27"/>
        </w:rPr>
      </w:pPr>
      <w:r>
        <w:rPr>
          <w:rStyle w:val="Strong"/>
          <w:rFonts w:ascii="Helvetica" w:hAnsi="Helvetica"/>
          <w:b w:val="0"/>
          <w:bCs w:val="0"/>
          <w:color w:val="000000"/>
          <w:sz w:val="27"/>
          <w:szCs w:val="27"/>
        </w:rPr>
        <w:t>Monthly number of visits to the supervised injection visits, The Works, August 21, 2017 to December 30, 2018</w:t>
      </w:r>
      <w:r>
        <w:rPr>
          <w:rStyle w:val="Strong"/>
          <w:rFonts w:ascii="Helvetica" w:hAnsi="Helvetica"/>
          <w:b w:val="0"/>
          <w:bCs w:val="0"/>
          <w:color w:val="000000"/>
          <w:sz w:val="20"/>
          <w:szCs w:val="20"/>
          <w:vertAlign w:val="superscript"/>
        </w:rPr>
        <w:t>§.</w:t>
      </w:r>
    </w:p>
    <w:p w14:paraId="28EC0238" w14:textId="404654D7" w:rsidR="00FE2F46" w:rsidRDefault="00FE2F46" w:rsidP="00FE2F46">
      <w:pPr>
        <w:pStyle w:val="NormalWeb"/>
        <w:shd w:val="clear" w:color="auto" w:fill="FFFFFF"/>
        <w:spacing w:before="0" w:beforeAutospacing="0" w:after="150" w:afterAutospacing="0"/>
        <w:rPr>
          <w:rFonts w:ascii="Helvetica" w:hAnsi="Helvetica"/>
          <w:color w:val="000000"/>
          <w:sz w:val="27"/>
          <w:szCs w:val="27"/>
        </w:rPr>
      </w:pPr>
      <w:r>
        <w:rPr>
          <w:rFonts w:ascii="Helvetica" w:hAnsi="Helvetica"/>
          <w:noProof/>
          <w:color w:val="737373"/>
        </w:rPr>
        <w:lastRenderedPageBreak/>
        <w:drawing>
          <wp:inline distT="0" distB="0" distL="0" distR="0" wp14:anchorId="28B4D09D" wp14:editId="19753386">
            <wp:extent cx="4143375" cy="4972050"/>
            <wp:effectExtent l="0" t="0" r="9525" b="0"/>
            <wp:docPr id="1" name="Picture 1" descr="Table of visits to the supervised injection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ble of visits to the supervised injection servi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43375" cy="4972050"/>
                    </a:xfrm>
                    <a:prstGeom prst="rect">
                      <a:avLst/>
                    </a:prstGeom>
                    <a:noFill/>
                    <a:ln>
                      <a:noFill/>
                    </a:ln>
                  </pic:spPr>
                </pic:pic>
              </a:graphicData>
            </a:graphic>
          </wp:inline>
        </w:drawing>
      </w:r>
    </w:p>
    <w:p w14:paraId="011DDDE3" w14:textId="77777777" w:rsidR="00FE2F46" w:rsidRDefault="00FE2F46" w:rsidP="00FE2F46">
      <w:pPr>
        <w:pStyle w:val="NormalWeb"/>
        <w:shd w:val="clear" w:color="auto" w:fill="FFFFFF"/>
        <w:spacing w:before="0" w:beforeAutospacing="0" w:after="150" w:afterAutospacing="0"/>
        <w:rPr>
          <w:rFonts w:ascii="Helvetica" w:hAnsi="Helvetica"/>
          <w:color w:val="000000"/>
          <w:sz w:val="27"/>
          <w:szCs w:val="27"/>
        </w:rPr>
      </w:pPr>
      <w:r>
        <w:rPr>
          <w:rFonts w:ascii="Helvetica" w:hAnsi="Helvetica"/>
          <w:color w:val="737373"/>
        </w:rPr>
        <w:t>* Before October 14, 2018, weeks were calculated Monday to Saturday. As of October 14, 2018, the supervised injection service is also open on Sundays, weeks are now calculated Monday to Sunday and are labeled with the Monday of each week period.</w:t>
      </w:r>
      <w:r>
        <w:rPr>
          <w:rFonts w:ascii="Helvetica" w:hAnsi="Helvetica"/>
          <w:color w:val="737373"/>
        </w:rPr>
        <w:br/>
      </w:r>
      <w:r>
        <w:rPr>
          <w:rFonts w:ascii="Helvetica" w:hAnsi="Helvetica"/>
          <w:color w:val="737373"/>
          <w:sz w:val="16"/>
          <w:szCs w:val="16"/>
          <w:vertAlign w:val="superscript"/>
        </w:rPr>
        <w:t>† </w:t>
      </w:r>
      <w:r>
        <w:rPr>
          <w:rFonts w:ascii="Helvetica" w:hAnsi="Helvetica"/>
          <w:color w:val="737373"/>
        </w:rPr>
        <w:t>Due to an ongoing review, data currently presented are preliminary and subject to change.</w:t>
      </w:r>
      <w:r>
        <w:rPr>
          <w:rFonts w:ascii="Helvetica" w:hAnsi="Helvetica"/>
          <w:color w:val="737373"/>
        </w:rPr>
        <w:br/>
      </w:r>
      <w:r>
        <w:rPr>
          <w:rFonts w:ascii="Helvetica" w:hAnsi="Helvetica"/>
          <w:color w:val="737373"/>
          <w:sz w:val="16"/>
          <w:szCs w:val="16"/>
          <w:vertAlign w:val="superscript"/>
        </w:rPr>
        <w:t>‡</w:t>
      </w:r>
      <w:r>
        <w:rPr>
          <w:rFonts w:ascii="Helvetica" w:hAnsi="Helvetica"/>
          <w:color w:val="737373"/>
        </w:rPr>
        <w:t> Some weeks include reduced hours due to holiday schedules.</w:t>
      </w:r>
      <w:r>
        <w:rPr>
          <w:rFonts w:ascii="Helvetica" w:hAnsi="Helvetica"/>
          <w:color w:val="737373"/>
        </w:rPr>
        <w:br/>
      </w:r>
      <w:r>
        <w:rPr>
          <w:rFonts w:ascii="Helvetica" w:hAnsi="Helvetica"/>
          <w:color w:val="737373"/>
          <w:sz w:val="16"/>
          <w:szCs w:val="16"/>
          <w:vertAlign w:val="superscript"/>
        </w:rPr>
        <w:t>§</w:t>
      </w:r>
      <w:r>
        <w:rPr>
          <w:rFonts w:ascii="Helvetica" w:hAnsi="Helvetica"/>
          <w:color w:val="737373"/>
        </w:rPr>
        <w:t> August 2017 and December 2018 are not complete months’ worth of data. Data are captured for August of 2017 starting on August 21, 2017. Data are captured for December of 2018 up to and including December 30, 2018.</w:t>
      </w:r>
    </w:p>
    <w:p w14:paraId="71D60223" w14:textId="77777777" w:rsidR="00FE2F46" w:rsidRDefault="00FE2F46" w:rsidP="00FE2F46">
      <w:pPr>
        <w:pStyle w:val="NormalWeb"/>
        <w:shd w:val="clear" w:color="auto" w:fill="FFFFFF"/>
        <w:spacing w:before="0" w:beforeAutospacing="0" w:after="150" w:afterAutospacing="0"/>
        <w:rPr>
          <w:rFonts w:ascii="Helvetica" w:hAnsi="Helvetica"/>
          <w:color w:val="000000"/>
          <w:sz w:val="27"/>
          <w:szCs w:val="27"/>
        </w:rPr>
      </w:pPr>
      <w:r>
        <w:rPr>
          <w:rFonts w:ascii="Helvetica" w:hAnsi="Helvetica"/>
          <w:color w:val="737373"/>
        </w:rPr>
        <w:t>Source: The Works – Toronto Public Health. Supervised Injection Services. Updated January 03, 2018.</w:t>
      </w:r>
    </w:p>
    <w:p w14:paraId="5155FB42" w14:textId="77777777" w:rsidR="002D685E" w:rsidRDefault="002D685E">
      <w:bookmarkStart w:id="0" w:name="_GoBack"/>
      <w:bookmarkEnd w:id="0"/>
    </w:p>
    <w:sectPr w:rsidR="002D68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46"/>
    <w:rsid w:val="002D685E"/>
    <w:rsid w:val="00F303BA"/>
    <w:rsid w:val="00FE2F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C53C1"/>
  <w15:chartTrackingRefBased/>
  <w15:docId w15:val="{9F9CB9D6-90FD-4179-B1FF-D7D927A38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2F4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FE2F46"/>
    <w:rPr>
      <w:color w:val="0000FF"/>
      <w:u w:val="single"/>
    </w:rPr>
  </w:style>
  <w:style w:type="character" w:styleId="Strong">
    <w:name w:val="Strong"/>
    <w:basedOn w:val="DefaultParagraphFont"/>
    <w:uiPriority w:val="22"/>
    <w:qFormat/>
    <w:rsid w:val="00FE2F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56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toronto.ca/community-people/health-wellness-care/health-programs-advice/supervised-injection-services/" TargetMode="External"/><Relationship Id="rId4" Type="http://schemas.openxmlformats.org/officeDocument/2006/relationships/hyperlink" Target="https://www.toronto.ca/community-people/health-wellness-care/health-programs-advice/supervised-injection-service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2019-01-07T21:28:00Z</dcterms:created>
  <dcterms:modified xsi:type="dcterms:W3CDTF">2019-01-07T21:29:00Z</dcterms:modified>
</cp:coreProperties>
</file>